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5FD3" w14:textId="77777777" w:rsidR="00474A94" w:rsidRPr="0037090E" w:rsidRDefault="00474A94" w:rsidP="0037090E">
      <w:pPr>
        <w:spacing w:line="276" w:lineRule="auto"/>
        <w:jc w:val="both"/>
        <w:rPr>
          <w:rFonts w:ascii="Georgia" w:hAnsi="Georgia"/>
          <w:sz w:val="24"/>
          <w:szCs w:val="24"/>
        </w:rPr>
      </w:pPr>
    </w:p>
    <w:p w14:paraId="6A16168E" w14:textId="77777777" w:rsidR="0037090E" w:rsidRDefault="0037090E" w:rsidP="0037090E">
      <w:pPr>
        <w:spacing w:line="276" w:lineRule="auto"/>
        <w:jc w:val="both"/>
        <w:rPr>
          <w:rFonts w:ascii="Georgia" w:hAnsi="Georgia"/>
          <w:b/>
          <w:bCs/>
        </w:rPr>
      </w:pPr>
    </w:p>
    <w:p w14:paraId="6C33EB21" w14:textId="10E631ED" w:rsidR="0037090E" w:rsidRDefault="0037090E" w:rsidP="0037090E">
      <w:pPr>
        <w:spacing w:line="276" w:lineRule="auto"/>
        <w:jc w:val="both"/>
        <w:rPr>
          <w:rFonts w:ascii="Georgia" w:hAnsi="Georgia"/>
          <w:b/>
          <w:bCs/>
        </w:rPr>
      </w:pPr>
      <w:r w:rsidRPr="0037090E">
        <w:rPr>
          <w:rFonts w:ascii="Georgia" w:hAnsi="Georgia"/>
          <w:b/>
          <w:bCs/>
        </w:rPr>
        <w:t>[</w:t>
      </w:r>
      <w:r w:rsidRPr="000C195B">
        <w:rPr>
          <w:rFonts w:ascii="Georgia" w:hAnsi="Georgia"/>
          <w:b/>
          <w:bCs/>
          <w:highlight w:val="yellow"/>
        </w:rPr>
        <w:t>ORGANISATIONENS</w:t>
      </w:r>
      <w:r w:rsidRPr="0037090E">
        <w:rPr>
          <w:rFonts w:ascii="Georgia" w:hAnsi="Georgia"/>
          <w:b/>
          <w:bCs/>
        </w:rPr>
        <w:t>] WHISTLEBLOWERPOLITK</w:t>
      </w:r>
    </w:p>
    <w:p w14:paraId="13ADE2E5" w14:textId="77777777" w:rsidR="0037090E" w:rsidRDefault="0037090E" w:rsidP="0037090E">
      <w:pPr>
        <w:spacing w:line="276" w:lineRule="auto"/>
        <w:jc w:val="both"/>
        <w:rPr>
          <w:rFonts w:ascii="Georgia" w:hAnsi="Georgia"/>
          <w:b/>
          <w:bCs/>
        </w:rPr>
      </w:pPr>
    </w:p>
    <w:p w14:paraId="520EDE1C" w14:textId="6B628A21" w:rsidR="0037090E" w:rsidRDefault="0037090E" w:rsidP="0037090E">
      <w:pPr>
        <w:spacing w:line="276" w:lineRule="auto"/>
        <w:jc w:val="both"/>
        <w:rPr>
          <w:rFonts w:ascii="Georgia" w:hAnsi="Georgia"/>
        </w:rPr>
      </w:pPr>
      <w:r w:rsidRPr="0037090E">
        <w:rPr>
          <w:rFonts w:ascii="Georgia" w:hAnsi="Georgia"/>
        </w:rPr>
        <w:t>[</w:t>
      </w:r>
      <w:r w:rsidRPr="000C195B">
        <w:rPr>
          <w:rFonts w:ascii="Georgia" w:hAnsi="Georgia"/>
          <w:highlight w:val="yellow"/>
        </w:rPr>
        <w:t>Organisationen</w:t>
      </w:r>
      <w:r w:rsidRPr="0037090E">
        <w:rPr>
          <w:rFonts w:ascii="Georgia" w:hAnsi="Georgia"/>
        </w:rPr>
        <w:t>]</w:t>
      </w:r>
      <w:r>
        <w:rPr>
          <w:rFonts w:ascii="Georgia" w:hAnsi="Georgia"/>
        </w:rPr>
        <w:t xml:space="preserve"> er tilsluttet Selveje Danmarks interne whistleblowerordning. Selveje Danmarks whistleblowerordning har til formål at øge mulighederne for, at [</w:t>
      </w:r>
      <w:r w:rsidR="00A90377">
        <w:rPr>
          <w:rFonts w:ascii="Georgia" w:hAnsi="Georgia"/>
          <w:highlight w:val="yellow"/>
        </w:rPr>
        <w:t>o</w:t>
      </w:r>
      <w:r w:rsidRPr="000C195B">
        <w:rPr>
          <w:rFonts w:ascii="Georgia" w:hAnsi="Georgia"/>
          <w:highlight w:val="yellow"/>
        </w:rPr>
        <w:t>rganisationens</w:t>
      </w:r>
      <w:r>
        <w:rPr>
          <w:rFonts w:ascii="Georgia" w:hAnsi="Georgia"/>
        </w:rPr>
        <w:t xml:space="preserve">] ansatte kan ytre sig om kritisable forhold på arbejdspladsen uden at frygte for negative konsekvenser. Formålet med whistleblowerordningen er således at sikre åbenhed og gennemsigtighed i forhold til eventuelle (lov)overtrædelser og alvorlige uregelmæssigheder. </w:t>
      </w:r>
    </w:p>
    <w:p w14:paraId="0536433C" w14:textId="3106D971" w:rsidR="0037090E" w:rsidRDefault="0037090E" w:rsidP="0037090E">
      <w:pPr>
        <w:spacing w:line="276" w:lineRule="auto"/>
        <w:jc w:val="both"/>
        <w:rPr>
          <w:rFonts w:ascii="Georgia" w:hAnsi="Georgia"/>
        </w:rPr>
      </w:pPr>
      <w:r>
        <w:rPr>
          <w:rFonts w:ascii="Georgia" w:hAnsi="Georgia"/>
        </w:rPr>
        <w:t xml:space="preserve">Selveje Danmarks whistleblowerordning skal ses som et supplement til den direkte og daglige kommunikation på arbejdspladsen om fejl og utilfredsstillende forhold mv. </w:t>
      </w:r>
      <w:r w:rsidR="00BC221B">
        <w:rPr>
          <w:rFonts w:ascii="Georgia" w:hAnsi="Georgia"/>
        </w:rPr>
        <w:t>Ordningen udgør desuden et supplement til eksisterende muligheder for at rette henvendelse til fx nærmeste leder, HR-afdelingen eller tillidsrepræsentanten.</w:t>
      </w:r>
    </w:p>
    <w:p w14:paraId="419C797B" w14:textId="0CA38CFC" w:rsidR="006B27D4" w:rsidRDefault="00181BF7" w:rsidP="0037090E">
      <w:pPr>
        <w:spacing w:line="276" w:lineRule="auto"/>
        <w:jc w:val="both"/>
        <w:rPr>
          <w:rFonts w:ascii="Georgia" w:hAnsi="Georgia"/>
        </w:rPr>
      </w:pPr>
      <w:r>
        <w:rPr>
          <w:rFonts w:ascii="Georgia" w:hAnsi="Georgia"/>
        </w:rPr>
        <w:t>[</w:t>
      </w:r>
      <w:r w:rsidRPr="000C195B">
        <w:rPr>
          <w:rFonts w:ascii="Georgia" w:hAnsi="Georgia"/>
          <w:highlight w:val="yellow"/>
        </w:rPr>
        <w:t>Organisationen</w:t>
      </w:r>
      <w:r>
        <w:rPr>
          <w:rFonts w:ascii="Georgia" w:hAnsi="Georgia"/>
        </w:rPr>
        <w:t>] opfordrer til at anvende Selveje Danmarks whistleblowerordning, således at eventuelle overtrædelser kan imødegås hurtigt og effektivt internt. Whistlebloweren kan dog frit vælge mellem at indgive indberetning til Selveje Danmarks whistleblowerordning eller en ekstern whistleblowerordning (Datatilsynet)</w:t>
      </w:r>
      <w:r w:rsidR="006B27D4">
        <w:rPr>
          <w:rFonts w:ascii="Georgia" w:hAnsi="Georgia"/>
        </w:rPr>
        <w:t>.</w:t>
      </w:r>
    </w:p>
    <w:p w14:paraId="4939F493" w14:textId="13D56A56" w:rsidR="00181BF7" w:rsidRDefault="006B27D4" w:rsidP="0037090E">
      <w:pPr>
        <w:spacing w:line="276" w:lineRule="auto"/>
        <w:jc w:val="both"/>
        <w:rPr>
          <w:rFonts w:ascii="Georgia" w:hAnsi="Georgia"/>
        </w:rPr>
      </w:pPr>
      <w:r>
        <w:rPr>
          <w:rFonts w:ascii="Georgia" w:hAnsi="Georgia"/>
        </w:rPr>
        <w:t>[</w:t>
      </w:r>
      <w:r w:rsidRPr="000C195B">
        <w:rPr>
          <w:rFonts w:ascii="Georgia" w:hAnsi="Georgia"/>
          <w:highlight w:val="yellow"/>
        </w:rPr>
        <w:t>Organisationens</w:t>
      </w:r>
      <w:r>
        <w:rPr>
          <w:rFonts w:ascii="Georgia" w:hAnsi="Georgia"/>
        </w:rPr>
        <w:t xml:space="preserve">] tilslutning til Selveje Danmarks whistleblowerordning udelukker ikke muligheden for at indberette via eksterne kanaler som fx tilsynsmyndigheder. </w:t>
      </w:r>
    </w:p>
    <w:p w14:paraId="7AE595D8" w14:textId="15739B77" w:rsidR="006B27D4" w:rsidRDefault="006B27D4" w:rsidP="0037090E">
      <w:pPr>
        <w:spacing w:line="276" w:lineRule="auto"/>
        <w:jc w:val="both"/>
        <w:rPr>
          <w:rFonts w:ascii="Georgia" w:hAnsi="Georgia"/>
        </w:rPr>
      </w:pPr>
      <w:r>
        <w:rPr>
          <w:rFonts w:ascii="Georgia" w:hAnsi="Georgia"/>
        </w:rPr>
        <w:t>Inden du indberetter til Selveje Danmarks whistleblowerordning, vil vi bede dig læse retningslinjerne nedenfor. Du kan blandt andet læse om dine rettigheder, hvordan du indberetter, og hvordan vi behandler din indberetning.</w:t>
      </w:r>
    </w:p>
    <w:p w14:paraId="355BDA87" w14:textId="28981A7E" w:rsidR="005E1D38" w:rsidRDefault="005E1D38" w:rsidP="0037090E">
      <w:pPr>
        <w:spacing w:line="276" w:lineRule="auto"/>
        <w:jc w:val="both"/>
        <w:rPr>
          <w:rFonts w:ascii="Georgia" w:hAnsi="Georgia"/>
          <w:b/>
          <w:bCs/>
        </w:rPr>
      </w:pPr>
      <w:r>
        <w:rPr>
          <w:rFonts w:ascii="Georgia" w:hAnsi="Georgia"/>
          <w:b/>
          <w:bCs/>
        </w:rPr>
        <w:t xml:space="preserve">Indberetning af overtrædelser </w:t>
      </w:r>
    </w:p>
    <w:p w14:paraId="521E8EA3" w14:textId="39114B5B" w:rsidR="00E72EE2" w:rsidRDefault="00E72EE2" w:rsidP="0037090E">
      <w:pPr>
        <w:spacing w:line="276" w:lineRule="auto"/>
        <w:jc w:val="both"/>
        <w:rPr>
          <w:rFonts w:ascii="Georgia" w:hAnsi="Georgia"/>
        </w:rPr>
      </w:pPr>
      <w:r>
        <w:rPr>
          <w:rFonts w:ascii="Georgia" w:hAnsi="Georgia"/>
        </w:rPr>
        <w:t>Alle indberetninger</w:t>
      </w:r>
      <w:r w:rsidR="00AB6F82">
        <w:rPr>
          <w:rFonts w:ascii="Georgia" w:hAnsi="Georgia"/>
        </w:rPr>
        <w:t xml:space="preserve"> </w:t>
      </w:r>
      <w:r>
        <w:rPr>
          <w:rFonts w:ascii="Georgia" w:hAnsi="Georgia"/>
        </w:rPr>
        <w:t>foretages skriftligt ved at udfylde Selveje Danmarks indberetningsskema. Det</w:t>
      </w:r>
      <w:r w:rsidR="001F527D">
        <w:rPr>
          <w:rFonts w:ascii="Georgia" w:hAnsi="Georgia"/>
        </w:rPr>
        <w:t xml:space="preserve"> kan </w:t>
      </w:r>
      <w:r w:rsidR="002748F1">
        <w:rPr>
          <w:rFonts w:ascii="Georgia" w:hAnsi="Georgia"/>
        </w:rPr>
        <w:t>hentes</w:t>
      </w:r>
      <w:r w:rsidR="001F527D">
        <w:rPr>
          <w:rFonts w:ascii="Georgia" w:hAnsi="Georgia"/>
        </w:rPr>
        <w:t xml:space="preserve"> </w:t>
      </w:r>
      <w:r w:rsidR="00EA4A4E">
        <w:rPr>
          <w:rFonts w:ascii="Georgia" w:hAnsi="Georgia"/>
        </w:rPr>
        <w:t>på Selveje Danmark</w:t>
      </w:r>
      <w:r w:rsidR="00017DC7">
        <w:rPr>
          <w:rFonts w:ascii="Georgia" w:hAnsi="Georgia"/>
        </w:rPr>
        <w:t>s og [</w:t>
      </w:r>
      <w:r w:rsidR="00A90377">
        <w:rPr>
          <w:rFonts w:ascii="Georgia" w:hAnsi="Georgia"/>
          <w:highlight w:val="yellow"/>
        </w:rPr>
        <w:t>o</w:t>
      </w:r>
      <w:r w:rsidR="00017DC7" w:rsidRPr="00503AD8">
        <w:rPr>
          <w:rFonts w:ascii="Georgia" w:hAnsi="Georgia"/>
          <w:highlight w:val="yellow"/>
        </w:rPr>
        <w:t>rganisationens</w:t>
      </w:r>
      <w:r w:rsidR="00AB658C">
        <w:rPr>
          <w:rFonts w:ascii="Georgia" w:hAnsi="Georgia"/>
        </w:rPr>
        <w:t xml:space="preserve">] </w:t>
      </w:r>
      <w:r w:rsidR="00EA4A4E">
        <w:rPr>
          <w:rFonts w:ascii="Georgia" w:hAnsi="Georgia"/>
        </w:rPr>
        <w:t>hjemmesid</w:t>
      </w:r>
      <w:r w:rsidR="00D217B0">
        <w:rPr>
          <w:rFonts w:ascii="Georgia" w:hAnsi="Georgia"/>
        </w:rPr>
        <w:t xml:space="preserve">e. </w:t>
      </w:r>
    </w:p>
    <w:p w14:paraId="388ADA0F" w14:textId="33D82E1E" w:rsidR="005E1D38" w:rsidRDefault="005E1D38" w:rsidP="0037090E">
      <w:pPr>
        <w:spacing w:line="276" w:lineRule="auto"/>
        <w:jc w:val="both"/>
        <w:rPr>
          <w:rFonts w:ascii="Georgia" w:hAnsi="Georgia"/>
        </w:rPr>
      </w:pPr>
      <w:r>
        <w:rPr>
          <w:rFonts w:ascii="Georgia" w:hAnsi="Georgia"/>
        </w:rPr>
        <w:t>Indberetning</w:t>
      </w:r>
      <w:r w:rsidR="009D7077">
        <w:rPr>
          <w:rFonts w:ascii="Georgia" w:hAnsi="Georgia"/>
        </w:rPr>
        <w:t>er</w:t>
      </w:r>
      <w:r>
        <w:rPr>
          <w:rFonts w:ascii="Georgia" w:hAnsi="Georgia"/>
        </w:rPr>
        <w:t xml:space="preserve"> til Selveje Danmarks whistleblowerordning </w:t>
      </w:r>
      <w:r w:rsidR="00672F7C">
        <w:rPr>
          <w:rFonts w:ascii="Georgia" w:hAnsi="Georgia"/>
        </w:rPr>
        <w:t>sendes til</w:t>
      </w:r>
      <w:r>
        <w:rPr>
          <w:rFonts w:ascii="Georgia" w:hAnsi="Georgia"/>
        </w:rPr>
        <w:t xml:space="preserve"> Selveje Danmarks krypterede mailadresse: </w:t>
      </w:r>
      <w:hyperlink r:id="rId10" w:history="1">
        <w:r w:rsidRPr="000740BE">
          <w:rPr>
            <w:rStyle w:val="Hyperlink"/>
            <w:rFonts w:ascii="Georgia" w:hAnsi="Georgia"/>
          </w:rPr>
          <w:t>whistleblower@selveje.dk</w:t>
        </w:r>
      </w:hyperlink>
      <w:r>
        <w:rPr>
          <w:rFonts w:ascii="Georgia" w:hAnsi="Georgia"/>
        </w:rPr>
        <w:t xml:space="preserve">. </w:t>
      </w:r>
    </w:p>
    <w:p w14:paraId="34B36FFF" w14:textId="6693D514" w:rsidR="000C195B" w:rsidRDefault="005E1D38" w:rsidP="0037090E">
      <w:pPr>
        <w:spacing w:line="276" w:lineRule="auto"/>
        <w:jc w:val="both"/>
        <w:rPr>
          <w:rFonts w:ascii="Georgia" w:hAnsi="Georgia"/>
        </w:rPr>
      </w:pPr>
      <w:r>
        <w:rPr>
          <w:rFonts w:ascii="Georgia" w:hAnsi="Georgia"/>
        </w:rPr>
        <w:t>Alle indberetninger vil blive behandlet af en upartisk whistleblowerenhed i Selveje Danmark</w:t>
      </w:r>
      <w:r w:rsidR="002E0884">
        <w:rPr>
          <w:rFonts w:ascii="Georgia" w:hAnsi="Georgia"/>
        </w:rPr>
        <w:t>.</w:t>
      </w:r>
    </w:p>
    <w:p w14:paraId="401754D9" w14:textId="0276F692" w:rsidR="005E1D38" w:rsidRDefault="005E1D38" w:rsidP="0037090E">
      <w:pPr>
        <w:spacing w:line="276" w:lineRule="auto"/>
        <w:jc w:val="both"/>
        <w:rPr>
          <w:rFonts w:ascii="Georgia" w:hAnsi="Georgia"/>
        </w:rPr>
      </w:pPr>
      <w:r>
        <w:rPr>
          <w:rFonts w:ascii="Georgia" w:hAnsi="Georgia"/>
        </w:rPr>
        <w:t xml:space="preserve">Har du spørgsmål til ordningen, kan du rette henvendelse til </w:t>
      </w:r>
      <w:r w:rsidR="002E0884">
        <w:rPr>
          <w:rFonts w:ascii="Georgia" w:hAnsi="Georgia"/>
        </w:rPr>
        <w:t>Selveje Danmarks whistleblowerenhed, som du kan finde på Selveje Danmarks hjemmeside.</w:t>
      </w:r>
    </w:p>
    <w:p w14:paraId="2424A45E" w14:textId="12C73621" w:rsidR="007314CF" w:rsidRDefault="007314CF" w:rsidP="007314CF">
      <w:pPr>
        <w:spacing w:line="276" w:lineRule="auto"/>
        <w:jc w:val="both"/>
        <w:rPr>
          <w:rFonts w:ascii="Georgia" w:hAnsi="Georgia"/>
        </w:rPr>
      </w:pPr>
      <w:r>
        <w:rPr>
          <w:rFonts w:ascii="Georgia" w:hAnsi="Georgia"/>
        </w:rPr>
        <w:t>Det er ikke muligt at indberette anonymt til Selveje Danmarks whistleblowerenhed.</w:t>
      </w:r>
      <w:r w:rsidR="00561B17">
        <w:rPr>
          <w:rFonts w:ascii="Georgia" w:hAnsi="Georgia"/>
        </w:rPr>
        <w:t xml:space="preserve"> </w:t>
      </w:r>
      <w:r>
        <w:rPr>
          <w:rFonts w:ascii="Georgia" w:hAnsi="Georgia"/>
        </w:rPr>
        <w:t>Whistleblowerens identitet vil kun være kendt overfor dem, der håndterer indberetningen, ligesom dennes identitet som udgangspunkt vil fremstå anonymiseret og fortrolig i sagsbehandlingen.</w:t>
      </w:r>
    </w:p>
    <w:p w14:paraId="372E112F" w14:textId="4E58A0A7" w:rsidR="00CB0FCD" w:rsidRDefault="00B1122D" w:rsidP="0037090E">
      <w:pPr>
        <w:spacing w:line="276" w:lineRule="auto"/>
        <w:jc w:val="both"/>
        <w:rPr>
          <w:rFonts w:ascii="Georgia" w:hAnsi="Georgia"/>
        </w:rPr>
      </w:pPr>
      <w:r>
        <w:rPr>
          <w:rFonts w:ascii="Georgia" w:hAnsi="Georgia"/>
        </w:rPr>
        <w:t xml:space="preserve">Det er op til whistlebloweren, hvorvidt denne ønsker at være anonym overfor </w:t>
      </w:r>
      <w:r w:rsidR="00A66E7F">
        <w:rPr>
          <w:rFonts w:ascii="Georgia" w:hAnsi="Georgia"/>
        </w:rPr>
        <w:t>kontaktpersonerne udpeget af [</w:t>
      </w:r>
      <w:r w:rsidR="00B142F1">
        <w:rPr>
          <w:rFonts w:ascii="Georgia" w:hAnsi="Georgia"/>
          <w:highlight w:val="yellow"/>
        </w:rPr>
        <w:t>o</w:t>
      </w:r>
      <w:r w:rsidR="00A66E7F" w:rsidRPr="00A66E7F">
        <w:rPr>
          <w:rFonts w:ascii="Georgia" w:hAnsi="Georgia"/>
          <w:highlight w:val="yellow"/>
        </w:rPr>
        <w:t>rganisationen</w:t>
      </w:r>
      <w:r w:rsidR="00A66E7F">
        <w:rPr>
          <w:rFonts w:ascii="Georgia" w:hAnsi="Georgia"/>
        </w:rPr>
        <w:t xml:space="preserve">]. </w:t>
      </w:r>
      <w:r>
        <w:rPr>
          <w:rFonts w:ascii="Georgia" w:hAnsi="Georgia"/>
        </w:rPr>
        <w:t>Det er disse, der skal foretage en intern undersøgelse i [</w:t>
      </w:r>
      <w:r w:rsidR="00B142F1">
        <w:rPr>
          <w:rFonts w:ascii="Georgia" w:hAnsi="Georgia"/>
          <w:highlight w:val="yellow"/>
        </w:rPr>
        <w:t>o</w:t>
      </w:r>
      <w:r w:rsidRPr="000C195B">
        <w:rPr>
          <w:rFonts w:ascii="Georgia" w:hAnsi="Georgia"/>
          <w:highlight w:val="yellow"/>
        </w:rPr>
        <w:t>rganisationen</w:t>
      </w:r>
      <w:r>
        <w:rPr>
          <w:rFonts w:ascii="Georgia" w:hAnsi="Georgia"/>
        </w:rPr>
        <w:t xml:space="preserve">], </w:t>
      </w:r>
      <w:r w:rsidR="00A66E7F">
        <w:rPr>
          <w:rFonts w:ascii="Georgia" w:hAnsi="Georgia"/>
        </w:rPr>
        <w:t>såfremt</w:t>
      </w:r>
      <w:r>
        <w:rPr>
          <w:rFonts w:ascii="Georgia" w:hAnsi="Georgia"/>
        </w:rPr>
        <w:t xml:space="preserve"> Selveje Danmarks whistleblowerenhed vurderer, at den indkomne indberetning falder indenfor whistleblowerordningens anvendelsesområde</w:t>
      </w:r>
      <w:r w:rsidR="00B2452C">
        <w:rPr>
          <w:rFonts w:ascii="Georgia" w:hAnsi="Georgia"/>
        </w:rPr>
        <w:t xml:space="preserve">. </w:t>
      </w:r>
    </w:p>
    <w:p w14:paraId="4134A9A3" w14:textId="760ECEF8" w:rsidR="00B1122D" w:rsidRDefault="00B1122D" w:rsidP="0037090E">
      <w:pPr>
        <w:spacing w:line="276" w:lineRule="auto"/>
        <w:jc w:val="both"/>
        <w:rPr>
          <w:rFonts w:ascii="Georgia" w:hAnsi="Georgia"/>
        </w:rPr>
      </w:pPr>
      <w:r>
        <w:rPr>
          <w:rFonts w:ascii="Georgia" w:hAnsi="Georgia"/>
        </w:rPr>
        <w:lastRenderedPageBreak/>
        <w:t>[</w:t>
      </w:r>
      <w:r w:rsidR="00134B99">
        <w:rPr>
          <w:rFonts w:ascii="Georgia" w:hAnsi="Georgia"/>
          <w:highlight w:val="yellow"/>
        </w:rPr>
        <w:t>O</w:t>
      </w:r>
      <w:r w:rsidRPr="000C195B">
        <w:rPr>
          <w:rFonts w:ascii="Georgia" w:hAnsi="Georgia"/>
          <w:highlight w:val="yellow"/>
        </w:rPr>
        <w:t>rganisationen</w:t>
      </w:r>
      <w:r>
        <w:rPr>
          <w:rFonts w:ascii="Georgia" w:hAnsi="Georgia"/>
        </w:rPr>
        <w:t>]</w:t>
      </w:r>
      <w:r w:rsidR="00CB0FCD">
        <w:rPr>
          <w:rFonts w:ascii="Georgia" w:hAnsi="Georgia"/>
        </w:rPr>
        <w:t xml:space="preserve"> har udpeget følgende kontaktpersoner til Selveje Danmarks whistleblowerordning: [</w:t>
      </w:r>
      <w:r w:rsidR="003E7654">
        <w:rPr>
          <w:rFonts w:ascii="Georgia" w:hAnsi="Georgia"/>
          <w:highlight w:val="yellow"/>
        </w:rPr>
        <w:t>navn og stillingsbetegnelse</w:t>
      </w:r>
      <w:r w:rsidR="00CB0FCD" w:rsidRPr="000C195B">
        <w:rPr>
          <w:rFonts w:ascii="Georgia" w:hAnsi="Georgia"/>
          <w:highlight w:val="yellow"/>
        </w:rPr>
        <w:t xml:space="preserve"> på alle udpegede kontaktpersoner</w:t>
      </w:r>
      <w:r w:rsidR="00CB0FCD">
        <w:rPr>
          <w:rFonts w:ascii="Georgia" w:hAnsi="Georgia"/>
        </w:rPr>
        <w:t xml:space="preserve">]. </w:t>
      </w:r>
    </w:p>
    <w:p w14:paraId="3B963EB7" w14:textId="42DA05AF" w:rsidR="00CB0FCD" w:rsidRDefault="00CB0FCD" w:rsidP="0037090E">
      <w:pPr>
        <w:spacing w:line="276" w:lineRule="auto"/>
        <w:jc w:val="both"/>
        <w:rPr>
          <w:rFonts w:ascii="Georgia" w:hAnsi="Georgia"/>
          <w:b/>
          <w:bCs/>
        </w:rPr>
      </w:pPr>
      <w:r>
        <w:rPr>
          <w:rFonts w:ascii="Georgia" w:hAnsi="Georgia"/>
          <w:b/>
          <w:bCs/>
        </w:rPr>
        <w:t xml:space="preserve">Hvem kan indgive oplysninger til whistleblowerordningen </w:t>
      </w:r>
    </w:p>
    <w:p w14:paraId="11897212" w14:textId="4111DF54" w:rsidR="00CB0FCD" w:rsidRDefault="00CB0FCD" w:rsidP="0037090E">
      <w:pPr>
        <w:spacing w:line="276" w:lineRule="auto"/>
        <w:jc w:val="both"/>
        <w:rPr>
          <w:rFonts w:ascii="Georgia" w:hAnsi="Georgia"/>
        </w:rPr>
      </w:pPr>
      <w:r>
        <w:rPr>
          <w:rFonts w:ascii="Georgia" w:hAnsi="Georgia"/>
        </w:rPr>
        <w:t>Selveje Danmarks whistleblowerordning kan benyttes af</w:t>
      </w:r>
      <w:r w:rsidR="00AB4CFB">
        <w:rPr>
          <w:rFonts w:ascii="Georgia" w:hAnsi="Georgia"/>
        </w:rPr>
        <w:t xml:space="preserve"> alle ansatte i</w:t>
      </w:r>
      <w:r>
        <w:rPr>
          <w:rFonts w:ascii="Georgia" w:hAnsi="Georgia"/>
        </w:rPr>
        <w:t xml:space="preserve"> [</w:t>
      </w:r>
      <w:r w:rsidR="00B142F1">
        <w:rPr>
          <w:rFonts w:ascii="Georgia" w:hAnsi="Georgia"/>
          <w:highlight w:val="yellow"/>
        </w:rPr>
        <w:t>o</w:t>
      </w:r>
      <w:r w:rsidRPr="000C195B">
        <w:rPr>
          <w:rFonts w:ascii="Georgia" w:hAnsi="Georgia"/>
          <w:highlight w:val="yellow"/>
        </w:rPr>
        <w:t>rganisationen</w:t>
      </w:r>
      <w:r>
        <w:rPr>
          <w:rFonts w:ascii="Georgia" w:hAnsi="Georgia"/>
        </w:rPr>
        <w:t>]</w:t>
      </w:r>
      <w:r w:rsidR="00AB4CFB">
        <w:rPr>
          <w:rFonts w:ascii="Georgia" w:hAnsi="Georgia"/>
        </w:rPr>
        <w:t xml:space="preserve">, herunder </w:t>
      </w:r>
      <w:r w:rsidR="00504FFF">
        <w:rPr>
          <w:rFonts w:ascii="Georgia" w:hAnsi="Georgia"/>
        </w:rPr>
        <w:t xml:space="preserve">vikarer, </w:t>
      </w:r>
      <w:r>
        <w:rPr>
          <w:rFonts w:ascii="Georgia" w:hAnsi="Georgia"/>
        </w:rPr>
        <w:t>direktionen og bestyrelsesmedlemmer.</w:t>
      </w:r>
    </w:p>
    <w:p w14:paraId="7971A373" w14:textId="276B6B81" w:rsidR="00CB0FCD" w:rsidRDefault="00CB0FCD" w:rsidP="0037090E">
      <w:pPr>
        <w:spacing w:line="276" w:lineRule="auto"/>
        <w:jc w:val="both"/>
        <w:rPr>
          <w:rFonts w:ascii="Georgia" w:hAnsi="Georgia"/>
        </w:rPr>
      </w:pPr>
      <w:r>
        <w:rPr>
          <w:rFonts w:ascii="Georgia" w:hAnsi="Georgia"/>
        </w:rPr>
        <w:t>Selveje Danmarks whistleblowerenhed kan kun behandle indberetninger, der omhandler ansatte i [</w:t>
      </w:r>
      <w:r w:rsidRPr="000C195B">
        <w:rPr>
          <w:rFonts w:ascii="Georgia" w:hAnsi="Georgia"/>
          <w:highlight w:val="yellow"/>
        </w:rPr>
        <w:t>organisationen</w:t>
      </w:r>
      <w:r>
        <w:rPr>
          <w:rFonts w:ascii="Georgia" w:hAnsi="Georgia"/>
        </w:rPr>
        <w:t xml:space="preserve">], herunder også direktionen, bestyrelsen eller andre udvalg, der foretager noget i regi af </w:t>
      </w:r>
      <w:r w:rsidR="000C195B">
        <w:rPr>
          <w:rFonts w:ascii="Georgia" w:hAnsi="Georgia"/>
        </w:rPr>
        <w:t>[</w:t>
      </w:r>
      <w:r w:rsidRPr="000C195B">
        <w:rPr>
          <w:rFonts w:ascii="Georgia" w:hAnsi="Georgia"/>
          <w:highlight w:val="yellow"/>
        </w:rPr>
        <w:t>organisationen</w:t>
      </w:r>
      <w:r w:rsidR="000C195B">
        <w:rPr>
          <w:rFonts w:ascii="Georgia" w:hAnsi="Georgia"/>
        </w:rPr>
        <w:t>]</w:t>
      </w:r>
      <w:r>
        <w:rPr>
          <w:rFonts w:ascii="Georgia" w:hAnsi="Georgia"/>
        </w:rPr>
        <w:t>.</w:t>
      </w:r>
    </w:p>
    <w:p w14:paraId="51807C85" w14:textId="746F77A0" w:rsidR="00CB0FCD" w:rsidRDefault="00CB0FCD" w:rsidP="0037090E">
      <w:pPr>
        <w:spacing w:line="276" w:lineRule="auto"/>
        <w:jc w:val="both"/>
        <w:rPr>
          <w:rFonts w:ascii="Georgia" w:hAnsi="Georgia"/>
          <w:b/>
          <w:bCs/>
        </w:rPr>
      </w:pPr>
      <w:r>
        <w:rPr>
          <w:rFonts w:ascii="Georgia" w:hAnsi="Georgia"/>
          <w:b/>
          <w:bCs/>
        </w:rPr>
        <w:t>Hvilke forhold kan der indberettes om</w:t>
      </w:r>
    </w:p>
    <w:p w14:paraId="6FA29BB2" w14:textId="2B5A97F0" w:rsidR="00CB0FCD" w:rsidRDefault="00CB0FCD" w:rsidP="0037090E">
      <w:pPr>
        <w:spacing w:line="276" w:lineRule="auto"/>
        <w:jc w:val="both"/>
        <w:rPr>
          <w:rFonts w:ascii="Georgia" w:hAnsi="Georgia"/>
        </w:rPr>
      </w:pPr>
      <w:r>
        <w:rPr>
          <w:rFonts w:ascii="Georgia" w:hAnsi="Georgia"/>
        </w:rPr>
        <w:t xml:space="preserve">Selveje Danmarks whistleblowerordning kan anvendes til indberetning af oplysninger om alvorlige overtrædelser eller øvrige alvorlige forhold, der ikke nødvendigvis kan henføres til en bestemt lovovertrædelse. </w:t>
      </w:r>
      <w:r w:rsidR="005A6357">
        <w:rPr>
          <w:rFonts w:ascii="Georgia" w:hAnsi="Georgia"/>
        </w:rPr>
        <w:t>Der kan indberettes om forhold, der har fundet sted eller vil finde sted i [</w:t>
      </w:r>
      <w:r w:rsidR="005A6357" w:rsidRPr="000C195B">
        <w:rPr>
          <w:rFonts w:ascii="Georgia" w:hAnsi="Georgia"/>
          <w:highlight w:val="yellow"/>
        </w:rPr>
        <w:t>organisationen</w:t>
      </w:r>
      <w:r w:rsidR="005A6357">
        <w:rPr>
          <w:rFonts w:ascii="Georgia" w:hAnsi="Georgia"/>
        </w:rPr>
        <w:t xml:space="preserve">]. Dette vil i almindelighed omfatte nedenstående, men er ikke begrænset hertil: </w:t>
      </w:r>
    </w:p>
    <w:p w14:paraId="4EB9223C" w14:textId="7B6110F0" w:rsidR="005A6357" w:rsidRDefault="005A6357" w:rsidP="005A6357">
      <w:pPr>
        <w:pStyle w:val="Listeafsnit"/>
        <w:numPr>
          <w:ilvl w:val="0"/>
          <w:numId w:val="1"/>
        </w:numPr>
        <w:spacing w:line="276" w:lineRule="auto"/>
        <w:jc w:val="both"/>
        <w:rPr>
          <w:rFonts w:ascii="Georgia" w:hAnsi="Georgia"/>
        </w:rPr>
      </w:pPr>
      <w:r>
        <w:rPr>
          <w:rFonts w:ascii="Georgia" w:hAnsi="Georgia"/>
          <w:i/>
          <w:iCs/>
        </w:rPr>
        <w:t xml:space="preserve">Strafbare forhold. </w:t>
      </w:r>
      <w:r>
        <w:rPr>
          <w:rFonts w:ascii="Georgia" w:hAnsi="Georgia"/>
        </w:rPr>
        <w:t xml:space="preserve">Fx overtrædelse af tavshedspligten, misbrug af økonomiske midler, tyveri, svig, underslæb, bedrageri, bestikkelse eller overtrædelse af regler om magtanvendelse. </w:t>
      </w:r>
    </w:p>
    <w:p w14:paraId="38C8D6BF" w14:textId="672D80BB" w:rsidR="005A6357" w:rsidRDefault="005A6357" w:rsidP="005A6357">
      <w:pPr>
        <w:pStyle w:val="Listeafsnit"/>
        <w:numPr>
          <w:ilvl w:val="0"/>
          <w:numId w:val="1"/>
        </w:numPr>
        <w:spacing w:line="276" w:lineRule="auto"/>
        <w:jc w:val="both"/>
        <w:rPr>
          <w:rFonts w:ascii="Georgia" w:hAnsi="Georgia"/>
        </w:rPr>
      </w:pPr>
      <w:r>
        <w:rPr>
          <w:rFonts w:ascii="Georgia" w:hAnsi="Georgia"/>
          <w:i/>
          <w:iCs/>
        </w:rPr>
        <w:t xml:space="preserve">Grove eller gentagne overtrædelser af lovgivningen. </w:t>
      </w:r>
      <w:r>
        <w:rPr>
          <w:rFonts w:ascii="Georgia" w:hAnsi="Georgia"/>
        </w:rPr>
        <w:t xml:space="preserve">Fx databeskyttelseslovgivningen, lov om bogføring, skattelovgivning. </w:t>
      </w:r>
    </w:p>
    <w:p w14:paraId="573B7896" w14:textId="66039B9E" w:rsidR="005A6357" w:rsidRDefault="005A6357" w:rsidP="005A6357">
      <w:pPr>
        <w:pStyle w:val="Listeafsnit"/>
        <w:numPr>
          <w:ilvl w:val="0"/>
          <w:numId w:val="1"/>
        </w:numPr>
        <w:spacing w:line="276" w:lineRule="auto"/>
        <w:jc w:val="both"/>
        <w:rPr>
          <w:rFonts w:ascii="Georgia" w:hAnsi="Georgia"/>
        </w:rPr>
      </w:pPr>
      <w:r>
        <w:rPr>
          <w:rFonts w:ascii="Georgia" w:hAnsi="Georgia"/>
          <w:i/>
          <w:iCs/>
        </w:rPr>
        <w:t xml:space="preserve">Grove personrelaterede konflikter på arbejdspladsen. </w:t>
      </w:r>
      <w:r>
        <w:rPr>
          <w:rFonts w:ascii="Georgia" w:hAnsi="Georgia"/>
        </w:rPr>
        <w:t xml:space="preserve">Fx grov chikane. </w:t>
      </w:r>
    </w:p>
    <w:p w14:paraId="2805D62F" w14:textId="7F137889" w:rsidR="005A6357" w:rsidRDefault="005A6357" w:rsidP="005A6357">
      <w:pPr>
        <w:pStyle w:val="Listeafsnit"/>
        <w:numPr>
          <w:ilvl w:val="0"/>
          <w:numId w:val="1"/>
        </w:numPr>
        <w:spacing w:line="276" w:lineRule="auto"/>
        <w:jc w:val="both"/>
        <w:rPr>
          <w:rFonts w:ascii="Georgia" w:hAnsi="Georgia"/>
        </w:rPr>
      </w:pPr>
      <w:r>
        <w:rPr>
          <w:rFonts w:ascii="Georgia" w:hAnsi="Georgia"/>
          <w:i/>
          <w:iCs/>
        </w:rPr>
        <w:t>Seksuel chikane.</w:t>
      </w:r>
      <w:r>
        <w:rPr>
          <w:rFonts w:ascii="Georgia" w:hAnsi="Georgia"/>
        </w:rPr>
        <w:t xml:space="preserve"> Fx enhver form for uønsket verbal, nonverbal eller fysisk adfærd med seksuelle undertoner med det formål eller den virkning at krænke en persons værdighed, navnlig ved at skabe et truende, fjendtligt, nedværdigende, ydmygende eller ubehageligt klima. </w:t>
      </w:r>
    </w:p>
    <w:p w14:paraId="2064ED19" w14:textId="742385E6" w:rsidR="005A6357" w:rsidRPr="005A6357" w:rsidRDefault="005A6357" w:rsidP="005A6357">
      <w:pPr>
        <w:pStyle w:val="Listeafsnit"/>
        <w:numPr>
          <w:ilvl w:val="0"/>
          <w:numId w:val="1"/>
        </w:numPr>
        <w:spacing w:line="276" w:lineRule="auto"/>
        <w:jc w:val="both"/>
        <w:rPr>
          <w:rFonts w:ascii="Georgia" w:hAnsi="Georgia"/>
        </w:rPr>
      </w:pPr>
      <w:r>
        <w:rPr>
          <w:rFonts w:ascii="Georgia" w:hAnsi="Georgia"/>
          <w:i/>
          <w:iCs/>
        </w:rPr>
        <w:t>Bevidst vildledning af samarbejdspartnere</w:t>
      </w:r>
      <w:r w:rsidR="00EB71A6">
        <w:rPr>
          <w:rFonts w:ascii="Georgia" w:hAnsi="Georgia"/>
          <w:i/>
          <w:iCs/>
        </w:rPr>
        <w:t xml:space="preserve"> </w:t>
      </w:r>
      <w:r w:rsidR="00A348C3">
        <w:rPr>
          <w:rFonts w:ascii="Georgia" w:hAnsi="Georgia"/>
          <w:i/>
          <w:iCs/>
        </w:rPr>
        <w:t>og</w:t>
      </w:r>
      <w:r w:rsidR="00EB71A6">
        <w:rPr>
          <w:rFonts w:ascii="Georgia" w:hAnsi="Georgia"/>
          <w:i/>
          <w:iCs/>
        </w:rPr>
        <w:t xml:space="preserve"> kunder</w:t>
      </w:r>
      <w:r>
        <w:rPr>
          <w:rFonts w:ascii="Georgia" w:hAnsi="Georgia"/>
          <w:i/>
          <w:iCs/>
        </w:rPr>
        <w:t xml:space="preserve">. </w:t>
      </w:r>
    </w:p>
    <w:p w14:paraId="316FD74F" w14:textId="53B266A5" w:rsidR="005A6357" w:rsidRDefault="005A6357" w:rsidP="005A6357">
      <w:pPr>
        <w:spacing w:line="276" w:lineRule="auto"/>
        <w:jc w:val="both"/>
        <w:rPr>
          <w:rFonts w:ascii="Georgia" w:hAnsi="Georgia"/>
        </w:rPr>
      </w:pPr>
      <w:r>
        <w:rPr>
          <w:rFonts w:ascii="Georgia" w:hAnsi="Georgia"/>
        </w:rPr>
        <w:t xml:space="preserve">Det forudsættes, at whistlebloweren er i god tro om oplysningernes rigtighed. </w:t>
      </w:r>
    </w:p>
    <w:p w14:paraId="6FC83DE1" w14:textId="763B3306" w:rsidR="00292E35" w:rsidRDefault="00292E35" w:rsidP="005A6357">
      <w:pPr>
        <w:spacing w:line="276" w:lineRule="auto"/>
        <w:jc w:val="both"/>
        <w:rPr>
          <w:rFonts w:ascii="Georgia" w:hAnsi="Georgia"/>
        </w:rPr>
      </w:pPr>
      <w:r>
        <w:rPr>
          <w:rFonts w:ascii="Georgia" w:hAnsi="Georgia"/>
        </w:rPr>
        <w:t xml:space="preserve">Oplysninger om øvrige forhold, herunder oplysninger om overtrædelser af interne retningslinjer af mindre alvorlig karakter, som bl.a. regler om sygefravær, påklædning og oplysninger om andre personrelaterede konflikter på arbejdspladsen, vil som udgangspunkt ikke anses som grove overtrædelser og kan dermed ikke indberettes til Selveje Danmarks whistleblowerordning. </w:t>
      </w:r>
    </w:p>
    <w:p w14:paraId="158AD90F" w14:textId="3E824FD8" w:rsidR="00292E35" w:rsidRDefault="00292E35" w:rsidP="005A6357">
      <w:pPr>
        <w:spacing w:line="276" w:lineRule="auto"/>
        <w:jc w:val="both"/>
        <w:rPr>
          <w:rFonts w:ascii="Georgia" w:hAnsi="Georgia"/>
          <w:b/>
          <w:bCs/>
        </w:rPr>
      </w:pPr>
      <w:r>
        <w:rPr>
          <w:rFonts w:ascii="Georgia" w:hAnsi="Georgia"/>
          <w:b/>
          <w:bCs/>
        </w:rPr>
        <w:t xml:space="preserve">Behandling af indberetninger </w:t>
      </w:r>
    </w:p>
    <w:p w14:paraId="6A0EAC27" w14:textId="7A306755" w:rsidR="00292E35" w:rsidRDefault="00292E35" w:rsidP="005A6357">
      <w:pPr>
        <w:spacing w:line="276" w:lineRule="auto"/>
        <w:jc w:val="both"/>
        <w:rPr>
          <w:rFonts w:ascii="Georgia" w:hAnsi="Georgia"/>
        </w:rPr>
      </w:pPr>
      <w:r>
        <w:rPr>
          <w:rFonts w:ascii="Georgia" w:hAnsi="Georgia"/>
        </w:rPr>
        <w:t xml:space="preserve">I forbindelse med modtagelsen af en indberetning vil Selveje Danmarks whistleblowerenhed bekræfte modtagelsen inden for syv dage. Det vil ske </w:t>
      </w:r>
      <w:r w:rsidR="006A5DA6">
        <w:rPr>
          <w:rFonts w:ascii="Georgia" w:hAnsi="Georgia"/>
        </w:rPr>
        <w:t>via</w:t>
      </w:r>
      <w:r>
        <w:rPr>
          <w:rFonts w:ascii="Georgia" w:hAnsi="Georgia"/>
        </w:rPr>
        <w:t xml:space="preserve"> den mail, som blev brugt til at foretage indberetningen</w:t>
      </w:r>
      <w:r w:rsidR="00817641">
        <w:rPr>
          <w:rFonts w:ascii="Georgia" w:hAnsi="Georgia"/>
        </w:rPr>
        <w:t>.</w:t>
      </w:r>
      <w:r>
        <w:rPr>
          <w:rFonts w:ascii="Georgia" w:hAnsi="Georgia"/>
        </w:rPr>
        <w:t xml:space="preserve"> </w:t>
      </w:r>
    </w:p>
    <w:p w14:paraId="68B3007A" w14:textId="25B49C99" w:rsidR="00292E35" w:rsidRDefault="00292E35" w:rsidP="005A6357">
      <w:pPr>
        <w:spacing w:line="276" w:lineRule="auto"/>
        <w:jc w:val="both"/>
        <w:rPr>
          <w:rFonts w:ascii="Georgia" w:hAnsi="Georgia"/>
        </w:rPr>
      </w:pPr>
      <w:r>
        <w:rPr>
          <w:rFonts w:ascii="Georgia" w:hAnsi="Georgia"/>
        </w:rPr>
        <w:t>Whistleblowerenheden vil herefter følge omhyggeligt op på indberetningen. Indberetningens karakter er afgørende for, hvordan der skal følges op.</w:t>
      </w:r>
    </w:p>
    <w:p w14:paraId="2B49705C" w14:textId="6F83933E" w:rsidR="00292E35" w:rsidRDefault="00292E35" w:rsidP="005A6357">
      <w:pPr>
        <w:spacing w:line="276" w:lineRule="auto"/>
        <w:jc w:val="both"/>
        <w:rPr>
          <w:rFonts w:ascii="Georgia" w:hAnsi="Georgia"/>
        </w:rPr>
      </w:pPr>
      <w:r>
        <w:rPr>
          <w:rFonts w:ascii="Georgia" w:hAnsi="Georgia"/>
        </w:rPr>
        <w:t xml:space="preserve">Whistleblowerenheden vil indledningsvis tage stilling til, om indberetningen </w:t>
      </w:r>
      <w:r w:rsidR="0088370F">
        <w:rPr>
          <w:rFonts w:ascii="Georgia" w:hAnsi="Georgia"/>
        </w:rPr>
        <w:t>falder indenfor whistleblowerordningens anvendelsesområde. Hvis indberetningen falder udenfor anvendelsesområdet eller er åbenbart ubegrundet, bliver indberetningen afvist. Whistlebloweren vil få besked herom.</w:t>
      </w:r>
    </w:p>
    <w:p w14:paraId="2FD19011" w14:textId="11005A33" w:rsidR="00D91E01" w:rsidRDefault="00D91E01" w:rsidP="005A6357">
      <w:pPr>
        <w:spacing w:line="276" w:lineRule="auto"/>
        <w:jc w:val="both"/>
        <w:rPr>
          <w:rFonts w:ascii="Georgia" w:hAnsi="Georgia"/>
        </w:rPr>
      </w:pPr>
      <w:r>
        <w:rPr>
          <w:rFonts w:ascii="Georgia" w:hAnsi="Georgia"/>
        </w:rPr>
        <w:lastRenderedPageBreak/>
        <w:t>Hvis indberetningen falder indenfor whistleblowerordningens anvendelsesområde, bliver indberetningen</w:t>
      </w:r>
      <w:r w:rsidR="005F5DEC">
        <w:rPr>
          <w:rFonts w:ascii="Georgia" w:hAnsi="Georgia"/>
        </w:rPr>
        <w:t xml:space="preserve"> behandlet. Dette indebærer, at Selveje Danmark sender indberetningen videre til en eller flere af de kontaktpersoner, der er udpeget af [</w:t>
      </w:r>
      <w:r w:rsidR="00910723">
        <w:rPr>
          <w:rFonts w:ascii="Georgia" w:hAnsi="Georgia"/>
          <w:highlight w:val="yellow"/>
        </w:rPr>
        <w:t>o</w:t>
      </w:r>
      <w:r w:rsidR="005F5DEC" w:rsidRPr="000C195B">
        <w:rPr>
          <w:rFonts w:ascii="Georgia" w:hAnsi="Georgia"/>
          <w:highlight w:val="yellow"/>
        </w:rPr>
        <w:t>rganisationen</w:t>
      </w:r>
      <w:r w:rsidR="005F5DEC">
        <w:rPr>
          <w:rFonts w:ascii="Georgia" w:hAnsi="Georgia"/>
        </w:rPr>
        <w:t xml:space="preserve">], som herefter vil skulle foretage en intern undersøgelse. Selveje Danmark whistleblowerenhed </w:t>
      </w:r>
      <w:r w:rsidR="00B67AF9">
        <w:rPr>
          <w:rFonts w:ascii="Georgia" w:hAnsi="Georgia"/>
        </w:rPr>
        <w:t xml:space="preserve">vil kunne </w:t>
      </w:r>
      <w:r w:rsidR="005F5DEC">
        <w:rPr>
          <w:rFonts w:ascii="Georgia" w:hAnsi="Georgia"/>
        </w:rPr>
        <w:t xml:space="preserve">medsende konkrete forslag til, hvordan undersøgelsen kan gribes an. </w:t>
      </w:r>
    </w:p>
    <w:p w14:paraId="458DA76C" w14:textId="79C56B68" w:rsidR="005F5DEC" w:rsidRDefault="005F5DEC" w:rsidP="005A6357">
      <w:pPr>
        <w:spacing w:line="276" w:lineRule="auto"/>
        <w:jc w:val="both"/>
        <w:rPr>
          <w:rFonts w:ascii="Georgia" w:hAnsi="Georgia"/>
        </w:rPr>
      </w:pPr>
      <w:r>
        <w:rPr>
          <w:rFonts w:ascii="Georgia" w:hAnsi="Georgia"/>
        </w:rPr>
        <w:t xml:space="preserve">Eksempler på opfølgning: </w:t>
      </w:r>
    </w:p>
    <w:p w14:paraId="6145D53A" w14:textId="23067CDF" w:rsidR="005F5DEC" w:rsidRDefault="005F5DEC" w:rsidP="005F5DEC">
      <w:pPr>
        <w:pStyle w:val="Listeafsnit"/>
        <w:numPr>
          <w:ilvl w:val="0"/>
          <w:numId w:val="1"/>
        </w:numPr>
        <w:spacing w:line="276" w:lineRule="auto"/>
        <w:jc w:val="both"/>
        <w:rPr>
          <w:rFonts w:ascii="Georgia" w:hAnsi="Georgia"/>
        </w:rPr>
      </w:pPr>
      <w:r>
        <w:rPr>
          <w:rFonts w:ascii="Georgia" w:hAnsi="Georgia"/>
        </w:rPr>
        <w:t>Iværksættelse af intern undersøgelse.</w:t>
      </w:r>
    </w:p>
    <w:p w14:paraId="3A9498D5" w14:textId="2842B957" w:rsidR="005F5DEC" w:rsidRDefault="005F5DEC" w:rsidP="005F5DEC">
      <w:pPr>
        <w:pStyle w:val="Listeafsnit"/>
        <w:numPr>
          <w:ilvl w:val="0"/>
          <w:numId w:val="1"/>
        </w:numPr>
        <w:spacing w:line="276" w:lineRule="auto"/>
        <w:jc w:val="both"/>
        <w:rPr>
          <w:rFonts w:ascii="Georgia" w:hAnsi="Georgia"/>
        </w:rPr>
      </w:pPr>
      <w:r>
        <w:rPr>
          <w:rFonts w:ascii="Georgia" w:hAnsi="Georgia"/>
        </w:rPr>
        <w:t xml:space="preserve">Orientering af organisationens øverste ledelse eller bestyrelse. </w:t>
      </w:r>
    </w:p>
    <w:p w14:paraId="2EEAF936" w14:textId="4A3E64EF" w:rsidR="005F5DEC" w:rsidRDefault="005F5DEC" w:rsidP="005F5DEC">
      <w:pPr>
        <w:pStyle w:val="Listeafsnit"/>
        <w:numPr>
          <w:ilvl w:val="0"/>
          <w:numId w:val="1"/>
        </w:numPr>
        <w:spacing w:line="276" w:lineRule="auto"/>
        <w:jc w:val="both"/>
        <w:rPr>
          <w:rFonts w:ascii="Georgia" w:hAnsi="Georgia"/>
        </w:rPr>
      </w:pPr>
      <w:r>
        <w:rPr>
          <w:rFonts w:ascii="Georgia" w:hAnsi="Georgia"/>
        </w:rPr>
        <w:t xml:space="preserve">Anmeldelse til politiet eller relevant tilsynsmyndighed. </w:t>
      </w:r>
    </w:p>
    <w:p w14:paraId="2BC6B298" w14:textId="056CF9BB" w:rsidR="005F5DEC" w:rsidRDefault="005F5DEC" w:rsidP="005F5DEC">
      <w:pPr>
        <w:pStyle w:val="Listeafsnit"/>
        <w:numPr>
          <w:ilvl w:val="0"/>
          <w:numId w:val="1"/>
        </w:numPr>
        <w:spacing w:line="276" w:lineRule="auto"/>
        <w:jc w:val="both"/>
        <w:rPr>
          <w:rFonts w:ascii="Georgia" w:hAnsi="Georgia"/>
        </w:rPr>
      </w:pPr>
      <w:r>
        <w:rPr>
          <w:rFonts w:ascii="Georgia" w:hAnsi="Georgia"/>
        </w:rPr>
        <w:t xml:space="preserve">Sagsafslutning grundet manglende eller utilstrækkelig bevismateriale. </w:t>
      </w:r>
    </w:p>
    <w:p w14:paraId="254C1A80" w14:textId="72EAAEA3" w:rsidR="005F5DEC" w:rsidRDefault="005F5DEC" w:rsidP="005F5DEC">
      <w:pPr>
        <w:spacing w:line="276" w:lineRule="auto"/>
        <w:jc w:val="both"/>
        <w:rPr>
          <w:rFonts w:ascii="Georgia" w:hAnsi="Georgia"/>
        </w:rPr>
      </w:pPr>
      <w:r>
        <w:rPr>
          <w:rFonts w:ascii="Georgia" w:hAnsi="Georgia"/>
        </w:rPr>
        <w:t xml:space="preserve">Selveje Danmarks whistleblowerenhed vil indenfor tre måneder fra bekræftelsen på modtagelsen af indberetningen give feedback til whistlebloweren. Det betyder, at whistleblowerenheden, afhængigt af indberetningens indhold og karakter, vil oplyse whistlebloweren om, hvilke tiltag der er iværksat eller påtænkes iværksat, og hvorfor denne opfølgning er valgt. </w:t>
      </w:r>
    </w:p>
    <w:p w14:paraId="5293C91A" w14:textId="4F6FDBC9" w:rsidR="005F5DEC" w:rsidRDefault="005F5DEC" w:rsidP="005F5DEC">
      <w:pPr>
        <w:spacing w:line="276" w:lineRule="auto"/>
        <w:jc w:val="both"/>
        <w:rPr>
          <w:rFonts w:ascii="Georgia" w:hAnsi="Georgia"/>
        </w:rPr>
      </w:pPr>
      <w:r>
        <w:rPr>
          <w:rFonts w:ascii="Georgia" w:hAnsi="Georgia"/>
        </w:rPr>
        <w:t>Hvis det ikke er muligt at give feedback indenfor fristen, vil Selveje Danmarks whistleblowerenhed underrette whistlebloweren herom, og om hvorvidt yderligere feedback kan forventes. Det kan fx skyldes, at der er iværksat en intern undersøgelse, der ikke kan afsluttes indenfor fristen.</w:t>
      </w:r>
    </w:p>
    <w:p w14:paraId="6A0A9258" w14:textId="77777777" w:rsidR="005F5DEC" w:rsidRDefault="005F5DEC" w:rsidP="005F5DEC">
      <w:pPr>
        <w:spacing w:line="276" w:lineRule="auto"/>
        <w:jc w:val="both"/>
        <w:rPr>
          <w:rFonts w:ascii="Georgia" w:hAnsi="Georgia"/>
        </w:rPr>
      </w:pPr>
      <w:r w:rsidRPr="00754D6C">
        <w:rPr>
          <w:rFonts w:ascii="Georgia" w:hAnsi="Georgia"/>
        </w:rPr>
        <w:t>Feedbacken skal overholde gældende lovgivning, herunder databeskyttelseslovgivningen. Det betyder bl.a., at der skal være et videregivelsesgrundlag for at kunne videregive følsomme oplysninger. Det beror på en konkret vurdering, hvilke oplysninger der kan gives i opfølgningen overfor whistlebloweren.</w:t>
      </w:r>
    </w:p>
    <w:p w14:paraId="3BAD5901" w14:textId="2AFF2898" w:rsidR="005F5DEC" w:rsidRDefault="005F5DEC" w:rsidP="005F5DEC">
      <w:pPr>
        <w:spacing w:line="276" w:lineRule="auto"/>
        <w:jc w:val="both"/>
        <w:rPr>
          <w:rFonts w:ascii="Georgia" w:hAnsi="Georgia"/>
          <w:b/>
          <w:bCs/>
        </w:rPr>
      </w:pPr>
      <w:r>
        <w:rPr>
          <w:rFonts w:ascii="Georgia" w:hAnsi="Georgia"/>
          <w:b/>
          <w:bCs/>
        </w:rPr>
        <w:t xml:space="preserve">Tavshedspligt og behandling af oplysninger </w:t>
      </w:r>
    </w:p>
    <w:p w14:paraId="7C0B58CE" w14:textId="3F56E4EF" w:rsidR="00C12482" w:rsidRDefault="00714124" w:rsidP="00714124">
      <w:pPr>
        <w:spacing w:line="276" w:lineRule="auto"/>
        <w:jc w:val="both"/>
        <w:rPr>
          <w:rFonts w:ascii="Georgia" w:hAnsi="Georgia"/>
        </w:rPr>
      </w:pPr>
      <w:r>
        <w:rPr>
          <w:rFonts w:ascii="Georgia" w:hAnsi="Georgia"/>
        </w:rPr>
        <w:t>Medarbejdere, der er tilknyttet Selveje Danmarks whistleblowerordning, herunder kontaktpersoner udpeget af [</w:t>
      </w:r>
      <w:r w:rsidR="00634923">
        <w:rPr>
          <w:rFonts w:ascii="Georgia" w:hAnsi="Georgia"/>
          <w:highlight w:val="yellow"/>
        </w:rPr>
        <w:t>o</w:t>
      </w:r>
      <w:r w:rsidRPr="000C195B">
        <w:rPr>
          <w:rFonts w:ascii="Georgia" w:hAnsi="Georgia"/>
          <w:highlight w:val="yellow"/>
        </w:rPr>
        <w:t>rganisationen</w:t>
      </w:r>
      <w:r>
        <w:rPr>
          <w:rFonts w:ascii="Georgia" w:hAnsi="Georgia"/>
        </w:rPr>
        <w:t xml:space="preserve">], har en særlig tavshedspligt i forhold til de oplysninger, der indgår i indberetningerne. </w:t>
      </w:r>
    </w:p>
    <w:p w14:paraId="259ABC75" w14:textId="77777777" w:rsidR="002776E4" w:rsidRPr="00754D6C" w:rsidRDefault="002776E4" w:rsidP="002776E4">
      <w:pPr>
        <w:spacing w:line="276" w:lineRule="auto"/>
        <w:jc w:val="both"/>
        <w:rPr>
          <w:rFonts w:ascii="Georgia" w:hAnsi="Georgia"/>
        </w:rPr>
      </w:pPr>
      <w:r w:rsidRPr="00754D6C">
        <w:rPr>
          <w:rFonts w:ascii="Georgia" w:hAnsi="Georgia"/>
        </w:rPr>
        <w:t xml:space="preserve">Tavshedspligten omfatter alene oplysninger, der indgår i indberetningen. Hvis en indberetning giver anledning til, at der indledes en sag, vil de øvrige oplysninger, der indsamles i den forbindelse, ikke være omfattet af tavshedspligten. </w:t>
      </w:r>
    </w:p>
    <w:p w14:paraId="4DC09C59" w14:textId="77777777" w:rsidR="002776E4" w:rsidRDefault="002776E4" w:rsidP="002776E4">
      <w:pPr>
        <w:spacing w:line="276" w:lineRule="auto"/>
        <w:jc w:val="both"/>
        <w:rPr>
          <w:rFonts w:ascii="Georgia" w:hAnsi="Georgia"/>
        </w:rPr>
      </w:pPr>
      <w:r w:rsidRPr="00754D6C">
        <w:rPr>
          <w:rFonts w:ascii="Georgia" w:hAnsi="Georgia"/>
        </w:rPr>
        <w:t xml:space="preserve">Oplysninger fra en indberetning behandles i overensstemmelse med behandlingsreglerne i whistleblowerlovens § 22 og i databeskyttelsesforordningen og -loven. Selveje Danmarks whistleblowerenhed kan efter whistleblowerlovens § 22 behandle personoplysninger, herunder følsomme oplysninger og oplysninger om strafbare forhold, hvis det er nødvendigt for at behandle en indberetning, som er modtaget i forbindelse med Selveje Danmarks whistleblowerordning. </w:t>
      </w:r>
    </w:p>
    <w:p w14:paraId="0EB0AA8B" w14:textId="77777777" w:rsidR="002776E4" w:rsidRDefault="002776E4" w:rsidP="002776E4">
      <w:pPr>
        <w:spacing w:line="276" w:lineRule="auto"/>
        <w:jc w:val="both"/>
        <w:rPr>
          <w:rFonts w:ascii="Georgia" w:hAnsi="Georgia"/>
        </w:rPr>
      </w:pPr>
      <w:r w:rsidRPr="00754D6C">
        <w:rPr>
          <w:rFonts w:ascii="Georgia" w:hAnsi="Georgia"/>
        </w:rPr>
        <w:t xml:space="preserve">Oplysninger fra en indberetning kan efter omstændighederne videregives, fx med det formål at følge op på indberetningen. Whistlebloweren bliver underrettet forud for videregivelse af oplysninger om whistleblowerens identitet, medmindre det vil bringe en relateret undersøgelse eller retssag i fare. Det vil fx kunne være tilfældet, hvis en sådan underretning konkret vurderes at ville medføre risiko for, at beviser vil blive skjult eller ødelagt, at vidner vil blive påvirket, eller hvis der er mistanke om, at whistlebloweren bevidst har indgivet falsk indberetning.  </w:t>
      </w:r>
    </w:p>
    <w:p w14:paraId="7647604A" w14:textId="77777777" w:rsidR="002776E4" w:rsidRDefault="002776E4">
      <w:pPr>
        <w:rPr>
          <w:rFonts w:ascii="Georgia" w:hAnsi="Georgia"/>
          <w:b/>
          <w:bCs/>
        </w:rPr>
      </w:pPr>
      <w:r>
        <w:rPr>
          <w:rFonts w:ascii="Georgia" w:hAnsi="Georgia"/>
          <w:b/>
          <w:bCs/>
        </w:rPr>
        <w:br w:type="page"/>
      </w:r>
    </w:p>
    <w:p w14:paraId="76E5FD02" w14:textId="2B4600C1" w:rsidR="002776E4" w:rsidRDefault="002776E4" w:rsidP="002776E4">
      <w:pPr>
        <w:spacing w:line="276" w:lineRule="auto"/>
        <w:jc w:val="both"/>
        <w:rPr>
          <w:rFonts w:ascii="Georgia" w:hAnsi="Georgia"/>
          <w:b/>
          <w:bCs/>
        </w:rPr>
      </w:pPr>
      <w:r>
        <w:rPr>
          <w:rFonts w:ascii="Georgia" w:hAnsi="Georgia"/>
          <w:b/>
          <w:bCs/>
        </w:rPr>
        <w:lastRenderedPageBreak/>
        <w:t xml:space="preserve">Beskyttelse af whistleblowere </w:t>
      </w:r>
    </w:p>
    <w:p w14:paraId="63D4194E" w14:textId="57AF38D5" w:rsidR="000C195B" w:rsidRDefault="000C195B" w:rsidP="000C195B">
      <w:pPr>
        <w:spacing w:line="276" w:lineRule="auto"/>
        <w:jc w:val="both"/>
        <w:rPr>
          <w:rFonts w:ascii="Georgia" w:hAnsi="Georgia"/>
        </w:rPr>
      </w:pPr>
      <w:r w:rsidRPr="00754D6C">
        <w:rPr>
          <w:rFonts w:ascii="Georgia" w:hAnsi="Georgia"/>
        </w:rPr>
        <w:t>En whistleblower må ikke udsættes for repressalier, herunder trussel om eller forsøg på repressalier, fordi vedkommende har foretaget indberetning til Selveje Danmarks whistleblower</w:t>
      </w:r>
      <w:r w:rsidR="00CF40B1">
        <w:rPr>
          <w:rFonts w:ascii="Georgia" w:hAnsi="Georgia"/>
        </w:rPr>
        <w:t>ordning</w:t>
      </w:r>
      <w:r w:rsidRPr="00754D6C">
        <w:rPr>
          <w:rFonts w:ascii="Georgia" w:hAnsi="Georgia"/>
        </w:rPr>
        <w:t xml:space="preserve"> eller en ekstern whistleblowerordning (Datatilsynet). Endvidere må whistlebloweren ikke hindres eller forsøges hindret i at foretage indberetninger. </w:t>
      </w:r>
    </w:p>
    <w:p w14:paraId="28359DCA" w14:textId="77777777" w:rsidR="000C195B" w:rsidRDefault="000C195B" w:rsidP="000C195B">
      <w:pPr>
        <w:spacing w:line="276" w:lineRule="auto"/>
        <w:jc w:val="both"/>
        <w:rPr>
          <w:rFonts w:ascii="Georgia" w:hAnsi="Georgia"/>
        </w:rPr>
      </w:pPr>
      <w:r w:rsidRPr="00754D6C">
        <w:rPr>
          <w:rFonts w:ascii="Georgia" w:hAnsi="Georgia"/>
        </w:rPr>
        <w:t xml:space="preserve">Repressalier forstås som enhver form for ufordelagtig behandling eller ufordelagtig følge som reaktion på en intern eller ekstern indberetning, som forårsager eller kan forårsage whistlebloweren skade. </w:t>
      </w:r>
    </w:p>
    <w:p w14:paraId="0328FD5F" w14:textId="77777777" w:rsidR="000C195B" w:rsidRPr="00754D6C" w:rsidRDefault="000C195B" w:rsidP="000C195B">
      <w:pPr>
        <w:spacing w:line="276" w:lineRule="auto"/>
        <w:jc w:val="both"/>
        <w:rPr>
          <w:rFonts w:ascii="Georgia" w:hAnsi="Georgia"/>
        </w:rPr>
      </w:pPr>
      <w:r w:rsidRPr="00754D6C">
        <w:rPr>
          <w:rFonts w:ascii="Georgia" w:hAnsi="Georgia"/>
        </w:rPr>
        <w:t xml:space="preserve">Whistlebloweren kan ikke ifalde ansvar for at indberette fortrolige oplysninger, hvis vedkommende har rimelig grund til at antage, at oplysningerne i en indberetning er nødvendige for at afsløre alvorlige lovovertrædelser eller andre alvorlige forhold. </w:t>
      </w:r>
    </w:p>
    <w:p w14:paraId="3E2156CE" w14:textId="1938EF60" w:rsidR="000C195B" w:rsidRDefault="000C195B" w:rsidP="000C195B">
      <w:pPr>
        <w:spacing w:line="276" w:lineRule="auto"/>
        <w:jc w:val="both"/>
        <w:rPr>
          <w:rFonts w:ascii="Georgia" w:hAnsi="Georgia"/>
        </w:rPr>
      </w:pPr>
      <w:r>
        <w:rPr>
          <w:rFonts w:ascii="Georgia" w:hAnsi="Georgia"/>
        </w:rPr>
        <w:t>Forsøg fra [</w:t>
      </w:r>
      <w:r w:rsidR="00385E32">
        <w:rPr>
          <w:rFonts w:ascii="Georgia" w:hAnsi="Georgia"/>
          <w:highlight w:val="yellow"/>
        </w:rPr>
        <w:t>o</w:t>
      </w:r>
      <w:r w:rsidRPr="000C195B">
        <w:rPr>
          <w:rFonts w:ascii="Georgia" w:hAnsi="Georgia"/>
          <w:highlight w:val="yellow"/>
        </w:rPr>
        <w:t>rganisationens</w:t>
      </w:r>
      <w:r>
        <w:rPr>
          <w:rFonts w:ascii="Georgia" w:hAnsi="Georgia"/>
        </w:rPr>
        <w:t xml:space="preserve">] ansatte eller ledelse på at hindre en whistleblower i at foretage indberetning eller på at udøve repressalier mod en whistleblower, der har indberettet i god tro, kan </w:t>
      </w:r>
      <w:r w:rsidR="006C3272">
        <w:rPr>
          <w:rFonts w:ascii="Georgia" w:hAnsi="Georgia"/>
        </w:rPr>
        <w:t>få</w:t>
      </w:r>
      <w:r>
        <w:rPr>
          <w:rFonts w:ascii="Georgia" w:hAnsi="Georgia"/>
        </w:rPr>
        <w:t xml:space="preserve"> ansættelsesretlige konsekvenser. </w:t>
      </w:r>
    </w:p>
    <w:p w14:paraId="4D1A50D9" w14:textId="2F013AF7" w:rsidR="000C195B" w:rsidRDefault="000C195B" w:rsidP="000C195B">
      <w:pPr>
        <w:spacing w:line="276" w:lineRule="auto"/>
        <w:jc w:val="both"/>
        <w:rPr>
          <w:rFonts w:ascii="Georgia" w:hAnsi="Georgia"/>
          <w:b/>
          <w:bCs/>
        </w:rPr>
      </w:pPr>
      <w:r>
        <w:rPr>
          <w:rFonts w:ascii="Georgia" w:hAnsi="Georgia"/>
          <w:b/>
          <w:bCs/>
        </w:rPr>
        <w:t xml:space="preserve">Yderligere oplysninger </w:t>
      </w:r>
    </w:p>
    <w:p w14:paraId="3DAE3E8E" w14:textId="449039F4" w:rsidR="00BC221B" w:rsidRPr="000C195B" w:rsidRDefault="000C195B" w:rsidP="0037090E">
      <w:pPr>
        <w:spacing w:line="276" w:lineRule="auto"/>
        <w:jc w:val="both"/>
        <w:rPr>
          <w:rFonts w:ascii="Georgia" w:hAnsi="Georgia"/>
          <w:b/>
          <w:bCs/>
        </w:rPr>
      </w:pPr>
      <w:r w:rsidRPr="00754D6C">
        <w:rPr>
          <w:rFonts w:ascii="Georgia" w:hAnsi="Georgia"/>
        </w:rPr>
        <w:t>Justitsministeriet har udarbejdet en vejledning for personer, der ønsker at indgive eller overvejer at indgive oplysninger som whistleblower. Vejledningen giver en overordnet beskrivelse af whistleblowerloven, herunder beskrivelse af whistleblowerordninger, indberetningsmuligheder, whistleblowerens rettigheder og beskyttelse af whistleblowere. Vejledningen kan hentes på Justitsministeriets hjemmeside.</w:t>
      </w:r>
    </w:p>
    <w:sectPr w:rsidR="00BC221B" w:rsidRPr="000C195B">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1CEF" w14:textId="77777777" w:rsidR="001E0CFF" w:rsidRDefault="001E0CFF" w:rsidP="0037090E">
      <w:pPr>
        <w:spacing w:after="0" w:line="240" w:lineRule="auto"/>
      </w:pPr>
      <w:r>
        <w:separator/>
      </w:r>
    </w:p>
  </w:endnote>
  <w:endnote w:type="continuationSeparator" w:id="0">
    <w:p w14:paraId="28EA4782" w14:textId="77777777" w:rsidR="001E0CFF" w:rsidRDefault="001E0CFF" w:rsidP="0037090E">
      <w:pPr>
        <w:spacing w:after="0" w:line="240" w:lineRule="auto"/>
      </w:pPr>
      <w:r>
        <w:continuationSeparator/>
      </w:r>
    </w:p>
  </w:endnote>
  <w:endnote w:type="continuationNotice" w:id="1">
    <w:p w14:paraId="4F33DB98" w14:textId="77777777" w:rsidR="001E0CFF" w:rsidRDefault="001E0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2818"/>
      <w:docPartObj>
        <w:docPartGallery w:val="Page Numbers (Bottom of Page)"/>
        <w:docPartUnique/>
      </w:docPartObj>
    </w:sdtPr>
    <w:sdtContent>
      <w:p w14:paraId="19BE4AFF" w14:textId="292814E8" w:rsidR="00640060" w:rsidRDefault="00640060">
        <w:pPr>
          <w:pStyle w:val="Sidefod"/>
          <w:jc w:val="right"/>
        </w:pPr>
        <w:r>
          <w:fldChar w:fldCharType="begin"/>
        </w:r>
        <w:r>
          <w:instrText>PAGE   \* MERGEFORMAT</w:instrText>
        </w:r>
        <w:r>
          <w:fldChar w:fldCharType="separate"/>
        </w:r>
        <w:r>
          <w:t>2</w:t>
        </w:r>
        <w:r>
          <w:fldChar w:fldCharType="end"/>
        </w:r>
      </w:p>
    </w:sdtContent>
  </w:sdt>
  <w:p w14:paraId="5A883502" w14:textId="1432A211" w:rsidR="3655494B" w:rsidRDefault="3655494B" w:rsidP="365549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59AD" w14:textId="77777777" w:rsidR="001E0CFF" w:rsidRDefault="001E0CFF" w:rsidP="0037090E">
      <w:pPr>
        <w:spacing w:after="0" w:line="240" w:lineRule="auto"/>
      </w:pPr>
      <w:r>
        <w:separator/>
      </w:r>
    </w:p>
  </w:footnote>
  <w:footnote w:type="continuationSeparator" w:id="0">
    <w:p w14:paraId="559D08E3" w14:textId="77777777" w:rsidR="001E0CFF" w:rsidRDefault="001E0CFF" w:rsidP="0037090E">
      <w:pPr>
        <w:spacing w:after="0" w:line="240" w:lineRule="auto"/>
      </w:pPr>
      <w:r>
        <w:continuationSeparator/>
      </w:r>
    </w:p>
  </w:footnote>
  <w:footnote w:type="continuationNotice" w:id="1">
    <w:p w14:paraId="0E7D3910" w14:textId="77777777" w:rsidR="001E0CFF" w:rsidRDefault="001E0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4871" w14:textId="5EB5D7A9" w:rsidR="0037090E" w:rsidRDefault="00D17945">
    <w:pPr>
      <w:pStyle w:val="Sidehoved"/>
    </w:pPr>
    <w:r>
      <w:rPr>
        <w:noProof/>
        <w:lang w:eastAsia="da-DK"/>
      </w:rPr>
      <w:drawing>
        <wp:anchor distT="0" distB="0" distL="114300" distR="114300" simplePos="0" relativeHeight="251658241" behindDoc="1" locked="0" layoutInCell="1" allowOverlap="1" wp14:anchorId="017ED035" wp14:editId="011F4FBB">
          <wp:simplePos x="0" y="0"/>
          <wp:positionH relativeFrom="margin">
            <wp:align>right</wp:align>
          </wp:positionH>
          <wp:positionV relativeFrom="paragraph">
            <wp:posOffset>-10160</wp:posOffset>
          </wp:positionV>
          <wp:extent cx="2333625" cy="355600"/>
          <wp:effectExtent l="0" t="0" r="9525" b="6350"/>
          <wp:wrapTight wrapText="bothSides">
            <wp:wrapPolygon edited="0">
              <wp:start x="0" y="0"/>
              <wp:lineTo x="0" y="20829"/>
              <wp:lineTo x="21512" y="20829"/>
              <wp:lineTo x="21512" y="0"/>
              <wp:lineTo x="0" y="0"/>
            </wp:wrapPolygon>
          </wp:wrapTight>
          <wp:docPr id="4" name="Billede 4" descr="C:\Users\lenovow530\Documents\Arbejde\Børsen\Brevpapir\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C:\Users\lenovow530\Documents\Arbejde\Børsen\Brevpapir\Tek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58240" behindDoc="1" locked="0" layoutInCell="1" allowOverlap="1" wp14:anchorId="2AEC70A8" wp14:editId="558DA050">
          <wp:simplePos x="0" y="0"/>
          <wp:positionH relativeFrom="margin">
            <wp:align>left</wp:align>
          </wp:positionH>
          <wp:positionV relativeFrom="paragraph">
            <wp:posOffset>131445</wp:posOffset>
          </wp:positionV>
          <wp:extent cx="2562225" cy="191770"/>
          <wp:effectExtent l="0" t="0" r="9525" b="0"/>
          <wp:wrapTight wrapText="bothSides">
            <wp:wrapPolygon edited="0">
              <wp:start x="0" y="0"/>
              <wp:lineTo x="0" y="19311"/>
              <wp:lineTo x="21520" y="19311"/>
              <wp:lineTo x="21520" y="0"/>
              <wp:lineTo x="0" y="0"/>
            </wp:wrapPolygon>
          </wp:wrapTight>
          <wp:docPr id="3" name="Billede 3" descr="C:\Users\lenovow530\Documents\Arbejde\Børsen\SelvEj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w530\Documents\Arbejde\Børsen\SelvEje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191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45E10"/>
    <w:multiLevelType w:val="hybridMultilevel"/>
    <w:tmpl w:val="4E0C7D9A"/>
    <w:lvl w:ilvl="0" w:tplc="5CB8550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3109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0E"/>
    <w:rsid w:val="00005771"/>
    <w:rsid w:val="00017DC7"/>
    <w:rsid w:val="00021922"/>
    <w:rsid w:val="0002676D"/>
    <w:rsid w:val="00056104"/>
    <w:rsid w:val="000B2DB5"/>
    <w:rsid w:val="000B7265"/>
    <w:rsid w:val="000C195B"/>
    <w:rsid w:val="00112700"/>
    <w:rsid w:val="00134B99"/>
    <w:rsid w:val="00147961"/>
    <w:rsid w:val="00181BF7"/>
    <w:rsid w:val="00186C88"/>
    <w:rsid w:val="001B0274"/>
    <w:rsid w:val="001E0CFF"/>
    <w:rsid w:val="001F4AC2"/>
    <w:rsid w:val="001F527D"/>
    <w:rsid w:val="00222CFA"/>
    <w:rsid w:val="00227035"/>
    <w:rsid w:val="002748F1"/>
    <w:rsid w:val="002776E4"/>
    <w:rsid w:val="002906C8"/>
    <w:rsid w:val="00292E35"/>
    <w:rsid w:val="0029648E"/>
    <w:rsid w:val="002E0884"/>
    <w:rsid w:val="002E47BA"/>
    <w:rsid w:val="00304F44"/>
    <w:rsid w:val="00340B99"/>
    <w:rsid w:val="0037090E"/>
    <w:rsid w:val="00385E32"/>
    <w:rsid w:val="003B2DA0"/>
    <w:rsid w:val="003E7654"/>
    <w:rsid w:val="004622AD"/>
    <w:rsid w:val="00462DA6"/>
    <w:rsid w:val="00474A94"/>
    <w:rsid w:val="004B0C72"/>
    <w:rsid w:val="004B5250"/>
    <w:rsid w:val="004C4B12"/>
    <w:rsid w:val="004E3D73"/>
    <w:rsid w:val="00503AD8"/>
    <w:rsid w:val="00504FFF"/>
    <w:rsid w:val="005057C1"/>
    <w:rsid w:val="00533EE8"/>
    <w:rsid w:val="00561B17"/>
    <w:rsid w:val="005A6357"/>
    <w:rsid w:val="005B3275"/>
    <w:rsid w:val="005D04D1"/>
    <w:rsid w:val="005E1D38"/>
    <w:rsid w:val="005F5DEC"/>
    <w:rsid w:val="00620D84"/>
    <w:rsid w:val="00634923"/>
    <w:rsid w:val="00640060"/>
    <w:rsid w:val="00672F7C"/>
    <w:rsid w:val="006A5DA6"/>
    <w:rsid w:val="006B27D4"/>
    <w:rsid w:val="006C3272"/>
    <w:rsid w:val="00714124"/>
    <w:rsid w:val="007314CF"/>
    <w:rsid w:val="0074360B"/>
    <w:rsid w:val="00817641"/>
    <w:rsid w:val="0083150F"/>
    <w:rsid w:val="0088370F"/>
    <w:rsid w:val="008C076E"/>
    <w:rsid w:val="008D4D28"/>
    <w:rsid w:val="00910723"/>
    <w:rsid w:val="00923BA7"/>
    <w:rsid w:val="0096114A"/>
    <w:rsid w:val="009D7077"/>
    <w:rsid w:val="009E1C88"/>
    <w:rsid w:val="00A27082"/>
    <w:rsid w:val="00A348C3"/>
    <w:rsid w:val="00A66E7F"/>
    <w:rsid w:val="00A73E1E"/>
    <w:rsid w:val="00A90377"/>
    <w:rsid w:val="00AB4CFB"/>
    <w:rsid w:val="00AB658C"/>
    <w:rsid w:val="00AB6F82"/>
    <w:rsid w:val="00B07EA4"/>
    <w:rsid w:val="00B1122D"/>
    <w:rsid w:val="00B142F1"/>
    <w:rsid w:val="00B2452C"/>
    <w:rsid w:val="00B67AF9"/>
    <w:rsid w:val="00B939A6"/>
    <w:rsid w:val="00BC221B"/>
    <w:rsid w:val="00BD3287"/>
    <w:rsid w:val="00BE53A3"/>
    <w:rsid w:val="00C12482"/>
    <w:rsid w:val="00C2174E"/>
    <w:rsid w:val="00CB0FCD"/>
    <w:rsid w:val="00CF40B1"/>
    <w:rsid w:val="00D02DAC"/>
    <w:rsid w:val="00D17945"/>
    <w:rsid w:val="00D217B0"/>
    <w:rsid w:val="00D764F4"/>
    <w:rsid w:val="00D85FB0"/>
    <w:rsid w:val="00D91E01"/>
    <w:rsid w:val="00DA0AA6"/>
    <w:rsid w:val="00E34F98"/>
    <w:rsid w:val="00E66415"/>
    <w:rsid w:val="00E72EE2"/>
    <w:rsid w:val="00E76DE0"/>
    <w:rsid w:val="00E9231F"/>
    <w:rsid w:val="00EA4A4E"/>
    <w:rsid w:val="00EB71A6"/>
    <w:rsid w:val="00F2428B"/>
    <w:rsid w:val="00F307B1"/>
    <w:rsid w:val="00F44324"/>
    <w:rsid w:val="00F548F3"/>
    <w:rsid w:val="00F9120E"/>
    <w:rsid w:val="365549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8615"/>
  <w15:chartTrackingRefBased/>
  <w15:docId w15:val="{5BDF270D-506F-4AA5-AFE8-BE00AE2D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709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090E"/>
  </w:style>
  <w:style w:type="paragraph" w:styleId="Sidefod">
    <w:name w:val="footer"/>
    <w:basedOn w:val="Normal"/>
    <w:link w:val="SidefodTegn"/>
    <w:uiPriority w:val="99"/>
    <w:unhideWhenUsed/>
    <w:rsid w:val="003709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090E"/>
  </w:style>
  <w:style w:type="character" w:styleId="Hyperlink">
    <w:name w:val="Hyperlink"/>
    <w:basedOn w:val="Standardskrifttypeiafsnit"/>
    <w:uiPriority w:val="99"/>
    <w:unhideWhenUsed/>
    <w:rsid w:val="005E1D38"/>
    <w:rPr>
      <w:color w:val="0563C1" w:themeColor="hyperlink"/>
      <w:u w:val="single"/>
    </w:rPr>
  </w:style>
  <w:style w:type="character" w:styleId="Ulstomtale">
    <w:name w:val="Unresolved Mention"/>
    <w:basedOn w:val="Standardskrifttypeiafsnit"/>
    <w:uiPriority w:val="99"/>
    <w:semiHidden/>
    <w:unhideWhenUsed/>
    <w:rsid w:val="005E1D38"/>
    <w:rPr>
      <w:color w:val="605E5C"/>
      <w:shd w:val="clear" w:color="auto" w:fill="E1DFDD"/>
    </w:rPr>
  </w:style>
  <w:style w:type="paragraph" w:styleId="Listeafsnit">
    <w:name w:val="List Paragraph"/>
    <w:basedOn w:val="Normal"/>
    <w:uiPriority w:val="34"/>
    <w:qFormat/>
    <w:rsid w:val="005A6357"/>
    <w:pPr>
      <w:ind w:left="720"/>
      <w:contextualSpacing/>
    </w:pPr>
  </w:style>
  <w:style w:type="character" w:styleId="Kommentarhenvisning">
    <w:name w:val="annotation reference"/>
    <w:basedOn w:val="Standardskrifttypeiafsnit"/>
    <w:uiPriority w:val="99"/>
    <w:semiHidden/>
    <w:unhideWhenUsed/>
    <w:rsid w:val="000C195B"/>
    <w:rPr>
      <w:sz w:val="16"/>
      <w:szCs w:val="16"/>
    </w:rPr>
  </w:style>
  <w:style w:type="paragraph" w:styleId="Kommentartekst">
    <w:name w:val="annotation text"/>
    <w:basedOn w:val="Normal"/>
    <w:link w:val="KommentartekstTegn"/>
    <w:uiPriority w:val="99"/>
    <w:unhideWhenUsed/>
    <w:rsid w:val="000C195B"/>
    <w:pPr>
      <w:spacing w:line="240" w:lineRule="auto"/>
    </w:pPr>
    <w:rPr>
      <w:sz w:val="20"/>
      <w:szCs w:val="20"/>
    </w:rPr>
  </w:style>
  <w:style w:type="character" w:customStyle="1" w:styleId="KommentartekstTegn">
    <w:name w:val="Kommentartekst Tegn"/>
    <w:basedOn w:val="Standardskrifttypeiafsnit"/>
    <w:link w:val="Kommentartekst"/>
    <w:uiPriority w:val="99"/>
    <w:rsid w:val="000C195B"/>
    <w:rPr>
      <w:sz w:val="20"/>
      <w:szCs w:val="20"/>
    </w:rPr>
  </w:style>
  <w:style w:type="paragraph" w:styleId="Kommentaremne">
    <w:name w:val="annotation subject"/>
    <w:basedOn w:val="Kommentartekst"/>
    <w:next w:val="Kommentartekst"/>
    <w:link w:val="KommentaremneTegn"/>
    <w:uiPriority w:val="99"/>
    <w:semiHidden/>
    <w:unhideWhenUsed/>
    <w:rsid w:val="000C195B"/>
    <w:rPr>
      <w:b/>
      <w:bCs/>
    </w:rPr>
  </w:style>
  <w:style w:type="character" w:customStyle="1" w:styleId="KommentaremneTegn">
    <w:name w:val="Kommentaremne Tegn"/>
    <w:basedOn w:val="KommentartekstTegn"/>
    <w:link w:val="Kommentaremne"/>
    <w:uiPriority w:val="99"/>
    <w:semiHidden/>
    <w:rsid w:val="000C195B"/>
    <w:rPr>
      <w:b/>
      <w:bCs/>
      <w:sz w:val="20"/>
      <w:szCs w:val="20"/>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histleblower@selveje.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3F8DE6A76A5A47923F627422067F38" ma:contentTypeVersion="17" ma:contentTypeDescription="Opret et nyt dokument." ma:contentTypeScope="" ma:versionID="3d2cbb97051d45f61ace2916c3060c5f">
  <xsd:schema xmlns:xsd="http://www.w3.org/2001/XMLSchema" xmlns:xs="http://www.w3.org/2001/XMLSchema" xmlns:p="http://schemas.microsoft.com/office/2006/metadata/properties" xmlns:ns2="7e5dc1ae-e96c-41a7-91c1-24d1e2cc522f" xmlns:ns3="d1dda805-8420-4810-8d34-b2a864da9f80" targetNamespace="http://schemas.microsoft.com/office/2006/metadata/properties" ma:root="true" ma:fieldsID="dbae2e914f1c1afdb888bdb6ce62721f" ns2:_="" ns3:_="">
    <xsd:import namespace="7e5dc1ae-e96c-41a7-91c1-24d1e2cc522f"/>
    <xsd:import namespace="d1dda805-8420-4810-8d34-b2a864da9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c1ae-e96c-41a7-91c1-24d1e2cc5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d6ad409-ced6-4e7c-be47-5c4a5c5bb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da805-8420-4810-8d34-b2a864da9f8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05f9bb2-8e45-4523-bebb-193c1820e89f}" ma:internalName="TaxCatchAll" ma:showField="CatchAllData" ma:web="d1dda805-8420-4810-8d34-b2a864da9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5dc1ae-e96c-41a7-91c1-24d1e2cc522f">
      <Terms xmlns="http://schemas.microsoft.com/office/infopath/2007/PartnerControls"/>
    </lcf76f155ced4ddcb4097134ff3c332f>
    <TaxCatchAll xmlns="d1dda805-8420-4810-8d34-b2a864da9f80" xsi:nil="true"/>
  </documentManagement>
</p:properties>
</file>

<file path=customXml/itemProps1.xml><?xml version="1.0" encoding="utf-8"?>
<ds:datastoreItem xmlns:ds="http://schemas.openxmlformats.org/officeDocument/2006/customXml" ds:itemID="{3DEC78B2-53F8-4E7F-82AF-897A38EE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dc1ae-e96c-41a7-91c1-24d1e2cc522f"/>
    <ds:schemaRef ds:uri="d1dda805-8420-4810-8d34-b2a864da9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2060B-6AA4-484B-9085-DB6EF23AB4C9}">
  <ds:schemaRefs>
    <ds:schemaRef ds:uri="http://schemas.microsoft.com/sharepoint/v3/contenttype/forms"/>
  </ds:schemaRefs>
</ds:datastoreItem>
</file>

<file path=customXml/itemProps3.xml><?xml version="1.0" encoding="utf-8"?>
<ds:datastoreItem xmlns:ds="http://schemas.openxmlformats.org/officeDocument/2006/customXml" ds:itemID="{5A0ACD1A-F568-4915-8698-067543C7AB11}">
  <ds:schemaRefs>
    <ds:schemaRef ds:uri="http://schemas.microsoft.com/office/2006/metadata/properties"/>
    <ds:schemaRef ds:uri="http://schemas.microsoft.com/office/infopath/2007/PartnerControls"/>
    <ds:schemaRef ds:uri="7e5dc1ae-e96c-41a7-91c1-24d1e2cc522f"/>
    <ds:schemaRef ds:uri="d1dda805-8420-4810-8d34-b2a864da9f80"/>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Normal</Template>
  <TotalTime>1115</TotalTime>
  <Pages>4</Pages>
  <Words>1436</Words>
  <Characters>8763</Characters>
  <Application>Microsoft Office Word</Application>
  <DocSecurity>0</DocSecurity>
  <Lines>73</Lines>
  <Paragraphs>20</Paragraphs>
  <ScaleCrop>false</ScaleCrop>
  <Company>Dansk Erhverv</Company>
  <LinksUpToDate>false</LinksUpToDate>
  <CharactersWithSpaces>10179</CharactersWithSpaces>
  <SharedDoc>false</SharedDoc>
  <HLinks>
    <vt:vector size="6" baseType="variant">
      <vt:variant>
        <vt:i4>8323138</vt:i4>
      </vt:variant>
      <vt:variant>
        <vt:i4>0</vt:i4>
      </vt:variant>
      <vt:variant>
        <vt:i4>0</vt:i4>
      </vt:variant>
      <vt:variant>
        <vt:i4>5</vt:i4>
      </vt:variant>
      <vt:variant>
        <vt:lpwstr>mailto:whistleblower@selveje.dk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Pari</dc:creator>
  <cp:keywords/>
  <dc:description/>
  <cp:lastModifiedBy>Laura Pari</cp:lastModifiedBy>
  <cp:revision>148</cp:revision>
  <cp:lastPrinted>2023-08-16T09:26:00Z</cp:lastPrinted>
  <dcterms:created xsi:type="dcterms:W3CDTF">2023-08-09T08:01:00Z</dcterms:created>
  <dcterms:modified xsi:type="dcterms:W3CDTF">2023-09-08T06:52:00Z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0x010100EA3F8DE6A76A5A47923F627422067F38</vt:lpwstr>
  </property>
  <property fmtid="{D5CDD505-2E9C-101B-9397-08002B2CF9AE}" pid="3" name="MediaServiceImageTags">
    <vt:lpwstr/>
  </property>
</Properties>
</file>